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Rule="auto"/>
        <w:rPr/>
      </w:pPr>
      <w:r w:rsidDel="00000000" w:rsidR="00000000" w:rsidRPr="00000000">
        <w:rPr/>
        <w:drawing>
          <wp:inline distB="0" distT="0" distL="0" distR="0">
            <wp:extent cx="5486400" cy="141922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86400"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60" w:lineRule="auto"/>
        <w:rPr/>
      </w:pPr>
      <w:r w:rsidDel="00000000" w:rsidR="00000000" w:rsidRPr="00000000">
        <w:rPr>
          <w:rFonts w:ascii="Nunito" w:cs="Nunito" w:eastAsia="Nunito" w:hAnsi="Nunito"/>
          <w:color w:val="445c7e"/>
          <w:sz w:val="22"/>
          <w:szCs w:val="22"/>
          <w:rtl w:val="0"/>
        </w:rPr>
        <w:t xml:space="preserve">AI has a hierarchy. </w:t>
      </w:r>
      <w:r w:rsidDel="00000000" w:rsidR="00000000" w:rsidRPr="00000000">
        <w:rPr>
          <w:rFonts w:ascii="Nunito" w:cs="Nunito" w:eastAsia="Nunito" w:hAnsi="Nunito"/>
          <w:b w:val="1"/>
          <w:bCs w:val="1"/>
          <w:color w:val="0099d4"/>
          <w:sz w:val="22"/>
          <w:szCs w:val="22"/>
          <w:rtl w:val="0"/>
        </w:rPr>
        <w:t xml:space="preserve">We put you at the top.</w:t>
      </w:r>
      <w:r w:rsidDel="00000000" w:rsidR="00000000" w:rsidRPr="00000000">
        <w:rPr>
          <w:rtl w:val="0"/>
        </w:rPr>
      </w:r>
    </w:p>
    <w:p w:rsidR="00000000" w:rsidDel="00000000" w:rsidP="00000000" w:rsidRDefault="00000000" w:rsidRPr="00000000" w14:paraId="00000003">
      <w:pPr>
        <w:pStyle w:val="Heading1"/>
        <w:spacing w:after="200" w:before="120" w:lineRule="auto"/>
        <w:rPr/>
      </w:pPr>
      <w:r w:rsidDel="00000000" w:rsidR="00000000" w:rsidRPr="00000000">
        <w:rPr>
          <w:rFonts w:ascii="Nunito" w:cs="Nunito" w:eastAsia="Nunito" w:hAnsi="Nunito"/>
          <w:b w:val="1"/>
          <w:bCs w:val="1"/>
          <w:color w:val="091e60"/>
          <w:sz w:val="56"/>
          <w:szCs w:val="56"/>
          <w:rtl w:val="0"/>
        </w:rPr>
        <w:t xml:space="preserve">The Salienci Score — Measurement Methodology</w:t>
      </w:r>
      <w:r w:rsidDel="00000000" w:rsidR="00000000" w:rsidRPr="00000000">
        <w:rPr>
          <w:rtl w:val="0"/>
        </w:rPr>
      </w:r>
    </w:p>
    <w:p w:rsidR="00000000" w:rsidDel="00000000" w:rsidP="00000000" w:rsidRDefault="00000000" w:rsidRPr="00000000" w14:paraId="00000004">
      <w:pPr>
        <w:spacing w:after="60" w:lineRule="auto"/>
        <w:rPr/>
      </w:pPr>
      <w:r w:rsidDel="00000000" w:rsidR="00000000" w:rsidRPr="00000000">
        <w:rPr>
          <w:rFonts w:ascii="Nunito" w:cs="Nunito" w:eastAsia="Nunito" w:hAnsi="Nunito"/>
          <w:b w:val="1"/>
          <w:bCs w:val="1"/>
          <w:color w:val="0099d4"/>
          <w:sz w:val="24"/>
          <w:szCs w:val="24"/>
          <w:rtl w:val="0"/>
        </w:rPr>
        <w:t xml:space="preserve">Published Methodology Overview</w:t>
      </w:r>
      <w:r w:rsidDel="00000000" w:rsidR="00000000" w:rsidRPr="00000000">
        <w:rPr>
          <w:rtl w:val="0"/>
        </w:rPr>
      </w:r>
    </w:p>
    <w:p w:rsidR="00000000" w:rsidDel="00000000" w:rsidP="00000000" w:rsidRDefault="00000000" w:rsidRPr="00000000" w14:paraId="00000005">
      <w:pPr>
        <w:spacing w:after="140" w:line="300" w:lineRule="auto"/>
        <w:rPr/>
      </w:pPr>
      <w:r w:rsidDel="00000000" w:rsidR="00000000" w:rsidRPr="00000000">
        <w:rPr>
          <w:rFonts w:ascii="Inter Tight" w:cs="Inter Tight" w:eastAsia="Inter Tight" w:hAnsi="Inter Tight"/>
          <w:color w:val="94a6be"/>
          <w:sz w:val="19"/>
          <w:szCs w:val="19"/>
          <w:rtl w:val="0"/>
        </w:rPr>
        <w:t xml:space="preserve">Version 1.0  ·  July 27, 2026  ·  Public  ·  salienci.ai</w:t>
      </w:r>
      <w:r w:rsidDel="00000000" w:rsidR="00000000" w:rsidRPr="00000000">
        <w:rPr>
          <w:rtl w:val="0"/>
        </w:rPr>
      </w:r>
    </w:p>
    <w:p w:rsidR="00000000" w:rsidDel="00000000" w:rsidP="00000000" w:rsidRDefault="00000000" w:rsidRPr="00000000" w14:paraId="00000006">
      <w:pPr>
        <w:spacing w:after="60" w:lineRule="auto"/>
        <w:rPr/>
      </w:pPr>
      <w:r w:rsidDel="00000000" w:rsidR="00000000" w:rsidRPr="00000000">
        <w:rPr>
          <w:rtl w:val="0"/>
        </w:rPr>
      </w:r>
    </w:p>
    <w:p w:rsidR="00000000" w:rsidDel="00000000" w:rsidP="00000000" w:rsidRDefault="00000000" w:rsidRPr="00000000" w14:paraId="00000007">
      <w:pPr>
        <w:spacing w:after="200" w:line="320" w:lineRule="auto"/>
        <w:rPr/>
      </w:pPr>
      <w:r w:rsidDel="00000000" w:rsidR="00000000" w:rsidRPr="00000000">
        <w:rPr>
          <w:rFonts w:ascii="Inter Tight" w:cs="Inter Tight" w:eastAsia="Inter Tight" w:hAnsi="Inter Tight"/>
          <w:color w:val="0b1220"/>
          <w:sz w:val="24"/>
          <w:szCs w:val="24"/>
          <w:rtl w:val="0"/>
        </w:rPr>
        <w:t xml:space="preserve">Salienci measures Recommendation Authority — whether AI answer engines independently select, cite, and recommend a business when buyers ask. This document publishes what we measure, how we measure it, how often, and where the known limits are. The composite weights and probe construction are proprietary; everything else is stated here in the open.</w:t>
      </w:r>
      <w:r w:rsidDel="00000000" w:rsidR="00000000" w:rsidRPr="00000000">
        <w:rPr>
          <w:rtl w:val="0"/>
        </w:rPr>
      </w:r>
    </w:p>
    <w:p w:rsidR="00000000" w:rsidDel="00000000" w:rsidP="00000000" w:rsidRDefault="00000000" w:rsidRPr="00000000" w14:paraId="00000008">
      <w:pPr>
        <w:pStyle w:val="Heading2"/>
        <w:pBdr>
          <w:bottom w:color="0099d4" w:space="4" w:sz="8" w:val="single"/>
        </w:pBdr>
        <w:spacing w:after="140" w:before="320" w:lineRule="auto"/>
        <w:rPr/>
      </w:pPr>
      <w:r w:rsidDel="00000000" w:rsidR="00000000" w:rsidRPr="00000000">
        <w:rPr>
          <w:rFonts w:ascii="Nunito" w:cs="Nunito" w:eastAsia="Nunito" w:hAnsi="Nunito"/>
          <w:b w:val="1"/>
          <w:bCs w:val="1"/>
          <w:color w:val="091e60"/>
          <w:sz w:val="30"/>
          <w:szCs w:val="30"/>
          <w:rtl w:val="0"/>
        </w:rPr>
        <w:t xml:space="preserve">1.  What We Measure — and Why Visibility Is Not Enough</w:t>
      </w:r>
      <w:r w:rsidDel="00000000" w:rsidR="00000000" w:rsidRPr="00000000">
        <w:rPr>
          <w:rtl w:val="0"/>
        </w:rPr>
      </w:r>
    </w:p>
    <w:p w:rsidR="00000000" w:rsidDel="00000000" w:rsidP="00000000" w:rsidRDefault="00000000" w:rsidRPr="00000000" w14:paraId="00000009">
      <w:pPr>
        <w:spacing w:after="140" w:line="300" w:lineRule="auto"/>
        <w:rPr/>
      </w:pPr>
      <w:r w:rsidDel="00000000" w:rsidR="00000000" w:rsidRPr="00000000">
        <w:rPr>
          <w:rFonts w:ascii="Inter Tight" w:cs="Inter Tight" w:eastAsia="Inter Tight" w:hAnsi="Inter Tight"/>
          <w:color w:val="445c7e"/>
          <w:sz w:val="21"/>
          <w:szCs w:val="21"/>
          <w:rtl w:val="0"/>
        </w:rPr>
        <w:t xml:space="preserve">Being visible to AI is not the same as being recommended by AI. An answer engine must complete three movements before it recommends a business: it must reach and identify the entity, extract a citable answer from its content, and find the wider ecosystem corroborating that answer. The Salienci Score is built on exactly that causal chain — three driver pillars, each auditing one movement.</w:t>
      </w:r>
      <w:r w:rsidDel="00000000" w:rsidR="00000000" w:rsidRPr="00000000">
        <w:rPr>
          <w:rtl w:val="0"/>
        </w:rPr>
      </w:r>
    </w:p>
    <w:tbl>
      <w:tblPr>
        <w:tblStyle w:val="Table1"/>
        <w:tblW w:w="9360.0" w:type="dxa"/>
        <w:jc w:val="left"/>
        <w:tblBorders>
          <w:top w:color="e2e8f0" w:space="0" w:sz="4" w:val="single"/>
          <w:left w:color="e2e8f0" w:space="0" w:sz="4" w:val="single"/>
          <w:bottom w:color="e2e8f0" w:space="0" w:sz="4" w:val="single"/>
          <w:right w:color="e2e8f0" w:space="0" w:sz="4" w:val="single"/>
          <w:insideH w:color="e2e8f0" w:space="0" w:sz="4" w:val="single"/>
          <w:insideV w:color="e2e8f0" w:space="0" w:sz="4" w:val="single"/>
        </w:tblBorders>
        <w:tblLayout w:type="fixed"/>
        <w:tblLook w:val="0000"/>
      </w:tblPr>
      <w:tblGrid>
        <w:gridCol w:w="1900"/>
        <w:gridCol w:w="3100"/>
        <w:gridCol w:w="4360"/>
        <w:tblGridChange w:id="0">
          <w:tblGrid>
            <w:gridCol w:w="1900"/>
            <w:gridCol w:w="3100"/>
            <w:gridCol w:w="4360"/>
          </w:tblGrid>
        </w:tblGridChange>
      </w:tblGrid>
      <w:tr>
        <w:trPr>
          <w:cantSplit w:val="0"/>
          <w:tblHeader w:val="1"/>
        </w:trPr>
        <w:tc>
          <w:tcPr>
            <w:shd w:fill="091e60" w:val="clear"/>
            <w:tcMar>
              <w:top w:w="90.0" w:type="dxa"/>
              <w:left w:w="120.0" w:type="dxa"/>
              <w:bottom w:w="90.0" w:type="dxa"/>
              <w:right w:w="120.0" w:type="dxa"/>
            </w:tcMar>
          </w:tcPr>
          <w:p w:rsidR="00000000" w:rsidDel="00000000" w:rsidP="00000000" w:rsidRDefault="00000000" w:rsidRPr="00000000" w14:paraId="0000000A">
            <w:pPr>
              <w:spacing w:after="0" w:line="260" w:lineRule="auto"/>
              <w:rPr/>
            </w:pPr>
            <w:r w:rsidDel="00000000" w:rsidR="00000000" w:rsidRPr="00000000">
              <w:rPr>
                <w:rFonts w:ascii="Nunito" w:cs="Nunito" w:eastAsia="Nunito" w:hAnsi="Nunito"/>
                <w:b w:val="1"/>
                <w:bCs w:val="1"/>
                <w:color w:val="ffffff"/>
                <w:sz w:val="19"/>
                <w:szCs w:val="19"/>
                <w:rtl w:val="0"/>
              </w:rPr>
              <w:t xml:space="preserve">Pillar</w:t>
            </w:r>
            <w:r w:rsidDel="00000000" w:rsidR="00000000" w:rsidRPr="00000000">
              <w:rPr>
                <w:rtl w:val="0"/>
              </w:rPr>
            </w:r>
          </w:p>
        </w:tc>
        <w:tc>
          <w:tcPr>
            <w:shd w:fill="091e60" w:val="clear"/>
            <w:tcMar>
              <w:top w:w="90.0" w:type="dxa"/>
              <w:left w:w="120.0" w:type="dxa"/>
              <w:bottom w:w="90.0" w:type="dxa"/>
              <w:right w:w="120.0" w:type="dxa"/>
            </w:tcMar>
          </w:tcPr>
          <w:p w:rsidR="00000000" w:rsidDel="00000000" w:rsidP="00000000" w:rsidRDefault="00000000" w:rsidRPr="00000000" w14:paraId="0000000B">
            <w:pPr>
              <w:spacing w:after="0" w:line="260" w:lineRule="auto"/>
              <w:rPr/>
            </w:pPr>
            <w:r w:rsidDel="00000000" w:rsidR="00000000" w:rsidRPr="00000000">
              <w:rPr>
                <w:rFonts w:ascii="Nunito" w:cs="Nunito" w:eastAsia="Nunito" w:hAnsi="Nunito"/>
                <w:b w:val="1"/>
                <w:bCs w:val="1"/>
                <w:color w:val="ffffff"/>
                <w:sz w:val="19"/>
                <w:szCs w:val="19"/>
                <w:rtl w:val="0"/>
              </w:rPr>
              <w:t xml:space="preserve">Question it answers</w:t>
            </w:r>
            <w:r w:rsidDel="00000000" w:rsidR="00000000" w:rsidRPr="00000000">
              <w:rPr>
                <w:rtl w:val="0"/>
              </w:rPr>
            </w:r>
          </w:p>
        </w:tc>
        <w:tc>
          <w:tcPr>
            <w:shd w:fill="091e60" w:val="clear"/>
            <w:tcMar>
              <w:top w:w="90.0" w:type="dxa"/>
              <w:left w:w="120.0" w:type="dxa"/>
              <w:bottom w:w="90.0" w:type="dxa"/>
              <w:right w:w="120.0" w:type="dxa"/>
            </w:tcMar>
          </w:tcPr>
          <w:p w:rsidR="00000000" w:rsidDel="00000000" w:rsidP="00000000" w:rsidRDefault="00000000" w:rsidRPr="00000000" w14:paraId="0000000C">
            <w:pPr>
              <w:spacing w:after="0" w:line="260" w:lineRule="auto"/>
              <w:rPr/>
            </w:pPr>
            <w:r w:rsidDel="00000000" w:rsidR="00000000" w:rsidRPr="00000000">
              <w:rPr>
                <w:rFonts w:ascii="Nunito" w:cs="Nunito" w:eastAsia="Nunito" w:hAnsi="Nunito"/>
                <w:b w:val="1"/>
                <w:bCs w:val="1"/>
                <w:color w:val="ffffff"/>
                <w:sz w:val="19"/>
                <w:szCs w:val="19"/>
                <w:rtl w:val="0"/>
              </w:rPr>
              <w:t xml:space="preserve">What is audited</w:t>
            </w:r>
            <w:r w:rsidDel="00000000" w:rsidR="00000000" w:rsidRPr="00000000">
              <w:rPr>
                <w:rtl w:val="0"/>
              </w:rPr>
            </w:r>
          </w:p>
        </w:tc>
      </w:tr>
      <w:tr>
        <w:trPr>
          <w:cantSplit w:val="0"/>
          <w:tblHeader w:val="0"/>
        </w:trPr>
        <w:tc>
          <w:tcPr>
            <w:tcMar>
              <w:top w:w="90.0" w:type="dxa"/>
              <w:left w:w="120.0" w:type="dxa"/>
              <w:bottom w:w="90.0" w:type="dxa"/>
              <w:right w:w="120.0" w:type="dxa"/>
            </w:tcMar>
          </w:tcPr>
          <w:p w:rsidR="00000000" w:rsidDel="00000000" w:rsidP="00000000" w:rsidRDefault="00000000" w:rsidRPr="00000000" w14:paraId="0000000D">
            <w:pPr>
              <w:spacing w:after="0" w:line="260" w:lineRule="auto"/>
              <w:rPr/>
            </w:pPr>
            <w:r w:rsidDel="00000000" w:rsidR="00000000" w:rsidRPr="00000000">
              <w:rPr>
                <w:rFonts w:ascii="Inter Tight" w:cs="Inter Tight" w:eastAsia="Inter Tight" w:hAnsi="Inter Tight"/>
                <w:b w:val="1"/>
                <w:bCs w:val="1"/>
                <w:color w:val="091e60"/>
                <w:sz w:val="19"/>
                <w:szCs w:val="19"/>
                <w:rtl w:val="0"/>
              </w:rPr>
              <w:t xml:space="preserve">Agent Readiness</w:t>
            </w:r>
            <w:r w:rsidDel="00000000" w:rsidR="00000000" w:rsidRPr="00000000">
              <w:rPr>
                <w:rtl w:val="0"/>
              </w:rPr>
            </w:r>
          </w:p>
        </w:tc>
        <w:tc>
          <w:tcPr>
            <w:tcMar>
              <w:top w:w="90.0" w:type="dxa"/>
              <w:left w:w="120.0" w:type="dxa"/>
              <w:bottom w:w="90.0" w:type="dxa"/>
              <w:right w:w="120.0" w:type="dxa"/>
            </w:tcMar>
          </w:tcPr>
          <w:p w:rsidR="00000000" w:rsidDel="00000000" w:rsidP="00000000" w:rsidRDefault="00000000" w:rsidRPr="00000000" w14:paraId="0000000E">
            <w:pPr>
              <w:spacing w:after="0" w:line="260" w:lineRule="auto"/>
              <w:rPr/>
            </w:pPr>
            <w:r w:rsidDel="00000000" w:rsidR="00000000" w:rsidRPr="00000000">
              <w:rPr>
                <w:rFonts w:ascii="Inter Tight" w:cs="Inter Tight" w:eastAsia="Inter Tight" w:hAnsi="Inter Tight"/>
                <w:b w:val="0"/>
                <w:bCs w:val="0"/>
                <w:color w:val="445c7e"/>
                <w:sz w:val="19"/>
                <w:szCs w:val="19"/>
                <w:rtl w:val="0"/>
              </w:rPr>
              <w:t xml:space="preserve">Can a machine reach, render, and verify you?</w:t>
            </w:r>
            <w:r w:rsidDel="00000000" w:rsidR="00000000" w:rsidRPr="00000000">
              <w:rPr>
                <w:rtl w:val="0"/>
              </w:rPr>
            </w:r>
          </w:p>
        </w:tc>
        <w:tc>
          <w:tcPr>
            <w:tcMar>
              <w:top w:w="90.0" w:type="dxa"/>
              <w:left w:w="120.0" w:type="dxa"/>
              <w:bottom w:w="90.0" w:type="dxa"/>
              <w:right w:w="120.0" w:type="dxa"/>
            </w:tcMar>
          </w:tcPr>
          <w:p w:rsidR="00000000" w:rsidDel="00000000" w:rsidP="00000000" w:rsidRDefault="00000000" w:rsidRPr="00000000" w14:paraId="0000000F">
            <w:pPr>
              <w:spacing w:after="0" w:line="260" w:lineRule="auto"/>
              <w:rPr/>
            </w:pPr>
            <w:r w:rsidDel="00000000" w:rsidR="00000000" w:rsidRPr="00000000">
              <w:rPr>
                <w:rFonts w:ascii="Inter Tight" w:cs="Inter Tight" w:eastAsia="Inter Tight" w:hAnsi="Inter Tight"/>
                <w:b w:val="0"/>
                <w:bCs w:val="0"/>
                <w:color w:val="445c7e"/>
                <w:sz w:val="19"/>
                <w:szCs w:val="19"/>
                <w:rtl w:val="0"/>
              </w:rPr>
              <w:t xml:space="preserve">Crawler access, rendering, structured identity, entity verification, business-profile integrity</w:t>
            </w:r>
            <w:r w:rsidDel="00000000" w:rsidR="00000000" w:rsidRPr="00000000">
              <w:rPr>
                <w:rtl w:val="0"/>
              </w:rPr>
            </w:r>
          </w:p>
        </w:tc>
      </w:tr>
      <w:tr>
        <w:trPr>
          <w:cantSplit w:val="0"/>
          <w:tblHeader w:val="0"/>
        </w:trPr>
        <w:tc>
          <w:tcPr>
            <w:tcMar>
              <w:top w:w="90.0" w:type="dxa"/>
              <w:left w:w="120.0" w:type="dxa"/>
              <w:bottom w:w="90.0" w:type="dxa"/>
              <w:right w:w="120.0" w:type="dxa"/>
            </w:tcMar>
          </w:tcPr>
          <w:p w:rsidR="00000000" w:rsidDel="00000000" w:rsidP="00000000" w:rsidRDefault="00000000" w:rsidRPr="00000000" w14:paraId="00000010">
            <w:pPr>
              <w:spacing w:after="0" w:line="260" w:lineRule="auto"/>
              <w:rPr/>
            </w:pPr>
            <w:r w:rsidDel="00000000" w:rsidR="00000000" w:rsidRPr="00000000">
              <w:rPr>
                <w:rFonts w:ascii="Inter Tight" w:cs="Inter Tight" w:eastAsia="Inter Tight" w:hAnsi="Inter Tight"/>
                <w:b w:val="1"/>
                <w:bCs w:val="1"/>
                <w:color w:val="091e60"/>
                <w:sz w:val="19"/>
                <w:szCs w:val="19"/>
                <w:rtl w:val="0"/>
              </w:rPr>
              <w:t xml:space="preserve">Answer Quality (AEO)</w:t>
            </w:r>
            <w:r w:rsidDel="00000000" w:rsidR="00000000" w:rsidRPr="00000000">
              <w:rPr>
                <w:rtl w:val="0"/>
              </w:rPr>
            </w:r>
          </w:p>
        </w:tc>
        <w:tc>
          <w:tcPr>
            <w:tcMar>
              <w:top w:w="90.0" w:type="dxa"/>
              <w:left w:w="120.0" w:type="dxa"/>
              <w:bottom w:w="90.0" w:type="dxa"/>
              <w:right w:w="120.0" w:type="dxa"/>
            </w:tcMar>
          </w:tcPr>
          <w:p w:rsidR="00000000" w:rsidDel="00000000" w:rsidP="00000000" w:rsidRDefault="00000000" w:rsidRPr="00000000" w14:paraId="00000011">
            <w:pPr>
              <w:spacing w:after="0" w:line="260" w:lineRule="auto"/>
              <w:rPr/>
            </w:pPr>
            <w:r w:rsidDel="00000000" w:rsidR="00000000" w:rsidRPr="00000000">
              <w:rPr>
                <w:rFonts w:ascii="Inter Tight" w:cs="Inter Tight" w:eastAsia="Inter Tight" w:hAnsi="Inter Tight"/>
                <w:b w:val="0"/>
                <w:bCs w:val="0"/>
                <w:color w:val="445c7e"/>
                <w:sz w:val="19"/>
                <w:szCs w:val="19"/>
                <w:rtl w:val="0"/>
              </w:rPr>
              <w:t xml:space="preserve">Can a machine extract a citable answer?</w:t>
            </w:r>
            <w:r w:rsidDel="00000000" w:rsidR="00000000" w:rsidRPr="00000000">
              <w:rPr>
                <w:rtl w:val="0"/>
              </w:rPr>
            </w:r>
          </w:p>
        </w:tc>
        <w:tc>
          <w:tcPr>
            <w:tcMar>
              <w:top w:w="90.0" w:type="dxa"/>
              <w:left w:w="120.0" w:type="dxa"/>
              <w:bottom w:w="90.0" w:type="dxa"/>
              <w:right w:w="120.0" w:type="dxa"/>
            </w:tcMar>
          </w:tcPr>
          <w:p w:rsidR="00000000" w:rsidDel="00000000" w:rsidP="00000000" w:rsidRDefault="00000000" w:rsidRPr="00000000" w14:paraId="00000012">
            <w:pPr>
              <w:spacing w:after="0" w:line="260" w:lineRule="auto"/>
              <w:rPr/>
            </w:pPr>
            <w:r w:rsidDel="00000000" w:rsidR="00000000" w:rsidRPr="00000000">
              <w:rPr>
                <w:rFonts w:ascii="Inter Tight" w:cs="Inter Tight" w:eastAsia="Inter Tight" w:hAnsi="Inter Tight"/>
                <w:b w:val="0"/>
                <w:bCs w:val="0"/>
                <w:color w:val="445c7e"/>
                <w:sz w:val="19"/>
                <w:szCs w:val="19"/>
                <w:rtl w:val="0"/>
              </w:rPr>
              <w:t xml:space="preserve">Content structure, answer targeting, citation readiness, factual anchoring, content quality</w:t>
            </w:r>
            <w:r w:rsidDel="00000000" w:rsidR="00000000" w:rsidRPr="00000000">
              <w:rPr>
                <w:rtl w:val="0"/>
              </w:rPr>
            </w:r>
          </w:p>
        </w:tc>
      </w:tr>
      <w:tr>
        <w:trPr>
          <w:cantSplit w:val="0"/>
          <w:tblHeader w:val="0"/>
        </w:trPr>
        <w:tc>
          <w:tcPr>
            <w:tcMar>
              <w:top w:w="90.0" w:type="dxa"/>
              <w:left w:w="120.0" w:type="dxa"/>
              <w:bottom w:w="90.0" w:type="dxa"/>
              <w:right w:w="120.0" w:type="dxa"/>
            </w:tcMar>
          </w:tcPr>
          <w:p w:rsidR="00000000" w:rsidDel="00000000" w:rsidP="00000000" w:rsidRDefault="00000000" w:rsidRPr="00000000" w14:paraId="00000013">
            <w:pPr>
              <w:spacing w:after="0" w:line="260" w:lineRule="auto"/>
              <w:rPr/>
            </w:pPr>
            <w:r w:rsidDel="00000000" w:rsidR="00000000" w:rsidRPr="00000000">
              <w:rPr>
                <w:rFonts w:ascii="Inter Tight" w:cs="Inter Tight" w:eastAsia="Inter Tight" w:hAnsi="Inter Tight"/>
                <w:b w:val="1"/>
                <w:bCs w:val="1"/>
                <w:color w:val="091e60"/>
                <w:sz w:val="19"/>
                <w:szCs w:val="19"/>
                <w:rtl w:val="0"/>
              </w:rPr>
              <w:t xml:space="preserve">Entity Visibility (EVS)</w:t>
            </w:r>
            <w:r w:rsidDel="00000000" w:rsidR="00000000" w:rsidRPr="00000000">
              <w:rPr>
                <w:rtl w:val="0"/>
              </w:rPr>
            </w:r>
          </w:p>
        </w:tc>
        <w:tc>
          <w:tcPr>
            <w:tcMar>
              <w:top w:w="90.0" w:type="dxa"/>
              <w:left w:w="120.0" w:type="dxa"/>
              <w:bottom w:w="90.0" w:type="dxa"/>
              <w:right w:w="120.0" w:type="dxa"/>
            </w:tcMar>
          </w:tcPr>
          <w:p w:rsidR="00000000" w:rsidDel="00000000" w:rsidP="00000000" w:rsidRDefault="00000000" w:rsidRPr="00000000" w14:paraId="00000014">
            <w:pPr>
              <w:spacing w:after="0" w:line="260" w:lineRule="auto"/>
              <w:rPr/>
            </w:pPr>
            <w:r w:rsidDel="00000000" w:rsidR="00000000" w:rsidRPr="00000000">
              <w:rPr>
                <w:rFonts w:ascii="Inter Tight" w:cs="Inter Tight" w:eastAsia="Inter Tight" w:hAnsi="Inter Tight"/>
                <w:b w:val="0"/>
                <w:bCs w:val="0"/>
                <w:color w:val="445c7e"/>
                <w:sz w:val="19"/>
                <w:szCs w:val="19"/>
                <w:rtl w:val="0"/>
              </w:rPr>
              <w:t xml:space="preserve">Does the ecosystem vouch — and does AI cite you?</w:t>
            </w:r>
            <w:r w:rsidDel="00000000" w:rsidR="00000000" w:rsidRPr="00000000">
              <w:rPr>
                <w:rtl w:val="0"/>
              </w:rPr>
            </w:r>
          </w:p>
        </w:tc>
        <w:tc>
          <w:tcPr>
            <w:tcMar>
              <w:top w:w="90.0" w:type="dxa"/>
              <w:left w:w="120.0" w:type="dxa"/>
              <w:bottom w:w="90.0" w:type="dxa"/>
              <w:right w:w="120.0" w:type="dxa"/>
            </w:tcMar>
          </w:tcPr>
          <w:p w:rsidR="00000000" w:rsidDel="00000000" w:rsidP="00000000" w:rsidRDefault="00000000" w:rsidRPr="00000000" w14:paraId="00000015">
            <w:pPr>
              <w:spacing w:after="0" w:line="260" w:lineRule="auto"/>
              <w:rPr/>
            </w:pPr>
            <w:r w:rsidDel="00000000" w:rsidR="00000000" w:rsidRPr="00000000">
              <w:rPr>
                <w:rFonts w:ascii="Inter Tight" w:cs="Inter Tight" w:eastAsia="Inter Tight" w:hAnsi="Inter Tight"/>
                <w:b w:val="0"/>
                <w:bCs w:val="0"/>
                <w:color w:val="445c7e"/>
                <w:sz w:val="19"/>
                <w:szCs w:val="19"/>
                <w:rtl w:val="0"/>
              </w:rPr>
              <w:t xml:space="preserve">Trust and review signals, authority signals, community presence, and the measured citation outcome</w:t>
            </w:r>
            <w:r w:rsidDel="00000000" w:rsidR="00000000" w:rsidRPr="00000000">
              <w:rPr>
                <w:rtl w:val="0"/>
              </w:rPr>
            </w:r>
          </w:p>
        </w:tc>
      </w:tr>
    </w:tbl>
    <w:p w:rsidR="00000000" w:rsidDel="00000000" w:rsidP="00000000" w:rsidRDefault="00000000" w:rsidRPr="00000000" w14:paraId="00000016">
      <w:pPr>
        <w:spacing w:after="140" w:lineRule="auto"/>
        <w:rPr/>
      </w:pPr>
      <w:r w:rsidDel="00000000" w:rsidR="00000000" w:rsidRPr="00000000">
        <w:rPr>
          <w:rtl w:val="0"/>
        </w:rPr>
      </w:r>
    </w:p>
    <w:p w:rsidR="00000000" w:rsidDel="00000000" w:rsidP="00000000" w:rsidRDefault="00000000" w:rsidRPr="00000000" w14:paraId="00000017">
      <w:pPr>
        <w:spacing w:after="140" w:line="300" w:lineRule="auto"/>
        <w:rPr/>
      </w:pPr>
      <w:r w:rsidDel="00000000" w:rsidR="00000000" w:rsidRPr="00000000">
        <w:rPr>
          <w:rFonts w:ascii="Inter Tight" w:cs="Inter Tight" w:eastAsia="Inter Tight" w:hAnsi="Inter Tight"/>
          <w:color w:val="445c7e"/>
          <w:sz w:val="21"/>
          <w:szCs w:val="21"/>
          <w:rtl w:val="0"/>
        </w:rPr>
        <w:t xml:space="preserve">A fourth band — </w:t>
      </w:r>
      <w:r w:rsidDel="00000000" w:rsidR="00000000" w:rsidRPr="00000000">
        <w:rPr>
          <w:rFonts w:ascii="Inter Tight" w:cs="Inter Tight" w:eastAsia="Inter Tight" w:hAnsi="Inter Tight"/>
          <w:b w:val="1"/>
          <w:bCs w:val="1"/>
          <w:color w:val="091e60"/>
          <w:sz w:val="21"/>
          <w:szCs w:val="21"/>
          <w:rtl w:val="0"/>
        </w:rPr>
        <w:t xml:space="preserve">Foundation</w:t>
      </w:r>
      <w:r w:rsidDel="00000000" w:rsidR="00000000" w:rsidRPr="00000000">
        <w:rPr>
          <w:rFonts w:ascii="Inter Tight" w:cs="Inter Tight" w:eastAsia="Inter Tight" w:hAnsi="Inter Tight"/>
          <w:color w:val="445c7e"/>
          <w:sz w:val="21"/>
          <w:szCs w:val="21"/>
          <w:rtl w:val="0"/>
        </w:rPr>
        <w:t xml:space="preserve"> (conversion, usability, measurement instrumentation, accessibility and governance) — is audited and repaired but reported as a separate Digital Presence Score. It is never blended into the authority result, because fixing a contact form does not make an AI more likely to recommend a brand. Keeping the two apart keeps the headline score honest.</w:t>
      </w:r>
      <w:r w:rsidDel="00000000" w:rsidR="00000000" w:rsidRPr="00000000">
        <w:rPr>
          <w:rtl w:val="0"/>
        </w:rPr>
      </w:r>
    </w:p>
    <w:p w:rsidR="00000000" w:rsidDel="00000000" w:rsidP="00000000" w:rsidRDefault="00000000" w:rsidRPr="00000000" w14:paraId="00000018">
      <w:pPr>
        <w:pStyle w:val="Heading2"/>
        <w:pBdr>
          <w:bottom w:color="0099d4" w:space="4" w:sz="8" w:val="single"/>
        </w:pBdr>
        <w:spacing w:after="140" w:before="320" w:lineRule="auto"/>
        <w:rPr/>
      </w:pPr>
      <w:r w:rsidDel="00000000" w:rsidR="00000000" w:rsidRPr="00000000">
        <w:rPr>
          <w:rFonts w:ascii="Nunito" w:cs="Nunito" w:eastAsia="Nunito" w:hAnsi="Nunito"/>
          <w:b w:val="1"/>
          <w:bCs w:val="1"/>
          <w:color w:val="091e60"/>
          <w:sz w:val="30"/>
          <w:szCs w:val="30"/>
          <w:rtl w:val="0"/>
        </w:rPr>
        <w:t xml:space="preserve">2.  How the Outcome Is Measured</w:t>
      </w:r>
      <w:r w:rsidDel="00000000" w:rsidR="00000000" w:rsidRPr="00000000">
        <w:rPr>
          <w:rtl w:val="0"/>
        </w:rPr>
      </w:r>
    </w:p>
    <w:p w:rsidR="00000000" w:rsidDel="00000000" w:rsidP="00000000" w:rsidRDefault="00000000" w:rsidRPr="00000000" w14:paraId="00000019">
      <w:pPr>
        <w:spacing w:after="140" w:line="300" w:lineRule="auto"/>
        <w:rPr/>
      </w:pPr>
      <w:r w:rsidDel="00000000" w:rsidR="00000000" w:rsidRPr="00000000">
        <w:rPr>
          <w:rFonts w:ascii="Inter Tight" w:cs="Inter Tight" w:eastAsia="Inter Tight" w:hAnsi="Inter Tight"/>
          <w:color w:val="445c7e"/>
          <w:sz w:val="21"/>
          <w:szCs w:val="21"/>
          <w:rtl w:val="0"/>
        </w:rPr>
        <w:t xml:space="preserve">The pillars audit inputs. The outcome — who AI actually recommends — is measured directly, on a fixed monthly cadence, using a structured probe program:</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90" w:lineRule="auto"/>
        <w:ind w:left="360" w:right="0" w:hanging="200"/>
        <w:jc w:val="left"/>
        <w:rPr/>
      </w:pPr>
      <w:r w:rsidDel="00000000" w:rsidR="00000000" w:rsidRPr="00000000">
        <w:rPr>
          <w:rFonts w:ascii="Inter Tight" w:cs="Inter Tight" w:eastAsia="Inter Tight" w:hAnsi="Inter Tight"/>
          <w:b w:val="1"/>
          <w:bCs w:val="1"/>
          <w:i w:val="0"/>
          <w:iCs w:val="0"/>
          <w:smallCaps w:val="0"/>
          <w:strike w:val="0"/>
          <w:color w:val="091e60"/>
          <w:sz w:val="21"/>
          <w:szCs w:val="21"/>
          <w:u w:val="none"/>
          <w:shd w:fill="auto" w:val="clear"/>
          <w:vertAlign w:val="baseline"/>
          <w:rtl w:val="0"/>
        </w:rPr>
        <w:t xml:space="preserve">Buyer-intent prompts. </w:t>
      </w:r>
      <w:r w:rsidDel="00000000" w:rsidR="00000000" w:rsidRPr="00000000">
        <w:rPr>
          <w:rFonts w:ascii="Inter Tight" w:cs="Inter Tight" w:eastAsia="Inter Tight" w:hAnsi="Inter Tight"/>
          <w:b w:val="0"/>
          <w:bCs w:val="0"/>
          <w:i w:val="0"/>
          <w:iCs w:val="0"/>
          <w:smallCaps w:val="0"/>
          <w:strike w:val="0"/>
          <w:color w:val="445c7e"/>
          <w:sz w:val="21"/>
          <w:szCs w:val="21"/>
          <w:u w:val="none"/>
          <w:shd w:fill="auto" w:val="clear"/>
          <w:vertAlign w:val="baseline"/>
          <w:rtl w:val="0"/>
        </w:rPr>
        <w:t xml:space="preserve">A bank of real category-buyer questions spanning five intent classes (discovery, capability, trust, comparison, and natural phrasing), localized to the client’s service area and, where relevant, language.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90" w:lineRule="auto"/>
        <w:ind w:left="360" w:right="0" w:hanging="200"/>
        <w:jc w:val="left"/>
        <w:rPr/>
      </w:pPr>
      <w:r w:rsidDel="00000000" w:rsidR="00000000" w:rsidRPr="00000000">
        <w:rPr>
          <w:rFonts w:ascii="Inter Tight" w:cs="Inter Tight" w:eastAsia="Inter Tight" w:hAnsi="Inter Tight"/>
          <w:b w:val="1"/>
          <w:bCs w:val="1"/>
          <w:i w:val="0"/>
          <w:iCs w:val="0"/>
          <w:smallCaps w:val="0"/>
          <w:strike w:val="0"/>
          <w:color w:val="091e60"/>
          <w:sz w:val="21"/>
          <w:szCs w:val="21"/>
          <w:u w:val="none"/>
          <w:shd w:fill="auto" w:val="clear"/>
          <w:vertAlign w:val="baseline"/>
          <w:rtl w:val="0"/>
        </w:rPr>
        <w:t xml:space="preserve">Four leading AI assistants. </w:t>
      </w:r>
      <w:r w:rsidDel="00000000" w:rsidR="00000000" w:rsidRPr="00000000">
        <w:rPr>
          <w:rFonts w:ascii="Inter Tight" w:cs="Inter Tight" w:eastAsia="Inter Tight" w:hAnsi="Inter Tight"/>
          <w:b w:val="0"/>
          <w:bCs w:val="0"/>
          <w:i w:val="0"/>
          <w:iCs w:val="0"/>
          <w:smallCaps w:val="0"/>
          <w:strike w:val="0"/>
          <w:color w:val="445c7e"/>
          <w:sz w:val="21"/>
          <w:szCs w:val="21"/>
          <w:u w:val="none"/>
          <w:shd w:fill="auto" w:val="clear"/>
          <w:vertAlign w:val="baseline"/>
          <w:rtl w:val="0"/>
        </w:rPr>
        <w:t xml:space="preserve">Each probe cycle runs across ChatGPT, Gemini, Perplexity, and Claude, with video and community ecosystems (YouTube and Reddit) measured through their own channels — because answer engines demonstrably draw on both.</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90" w:lineRule="auto"/>
        <w:ind w:left="360" w:right="0" w:hanging="200"/>
        <w:jc w:val="left"/>
        <w:rPr/>
      </w:pPr>
      <w:r w:rsidDel="00000000" w:rsidR="00000000" w:rsidRPr="00000000">
        <w:rPr>
          <w:rFonts w:ascii="Inter Tight" w:cs="Inter Tight" w:eastAsia="Inter Tight" w:hAnsi="Inter Tight"/>
          <w:b w:val="1"/>
          <w:bCs w:val="1"/>
          <w:i w:val="0"/>
          <w:iCs w:val="0"/>
          <w:smallCaps w:val="0"/>
          <w:strike w:val="0"/>
          <w:color w:val="091e60"/>
          <w:sz w:val="21"/>
          <w:szCs w:val="21"/>
          <w:u w:val="none"/>
          <w:shd w:fill="auto" w:val="clear"/>
          <w:vertAlign w:val="baseline"/>
          <w:rtl w:val="0"/>
        </w:rPr>
        <w:t xml:space="preserve">Seven citation-outcome dimensions. </w:t>
      </w:r>
      <w:r w:rsidDel="00000000" w:rsidR="00000000" w:rsidRPr="00000000">
        <w:rPr>
          <w:rFonts w:ascii="Inter Tight" w:cs="Inter Tight" w:eastAsia="Inter Tight" w:hAnsi="Inter Tight"/>
          <w:b w:val="0"/>
          <w:bCs w:val="0"/>
          <w:i w:val="0"/>
          <w:iCs w:val="0"/>
          <w:smallCaps w:val="0"/>
          <w:strike w:val="0"/>
          <w:color w:val="445c7e"/>
          <w:sz w:val="21"/>
          <w:szCs w:val="21"/>
          <w:u w:val="none"/>
          <w:shd w:fill="auto" w:val="clear"/>
          <w:vertAlign w:val="baseline"/>
          <w:rtl w:val="0"/>
        </w:rPr>
        <w:t xml:space="preserve">Each cycle records how often the business is mentioned, where in the answer it appears, whether the stated facts are accurate, how many distinct platforms cite it, how fast citation frequency is changing, and its visibility in the video and community sources engines draw on.</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90" w:lineRule="auto"/>
        <w:ind w:left="360" w:right="0" w:hanging="200"/>
        <w:jc w:val="left"/>
        <w:rPr/>
      </w:pPr>
      <w:r w:rsidDel="00000000" w:rsidR="00000000" w:rsidRPr="00000000">
        <w:rPr>
          <w:rFonts w:ascii="Inter Tight" w:cs="Inter Tight" w:eastAsia="Inter Tight" w:hAnsi="Inter Tight"/>
          <w:b w:val="1"/>
          <w:bCs w:val="1"/>
          <w:i w:val="0"/>
          <w:iCs w:val="0"/>
          <w:smallCaps w:val="0"/>
          <w:strike w:val="0"/>
          <w:color w:val="091e60"/>
          <w:sz w:val="21"/>
          <w:szCs w:val="21"/>
          <w:u w:val="none"/>
          <w:shd w:fill="auto" w:val="clear"/>
          <w:vertAlign w:val="baseline"/>
          <w:rtl w:val="0"/>
        </w:rPr>
        <w:t xml:space="preserve">Fixed re-score gates. </w:t>
      </w:r>
      <w:r w:rsidDel="00000000" w:rsidR="00000000" w:rsidRPr="00000000">
        <w:rPr>
          <w:rFonts w:ascii="Inter Tight" w:cs="Inter Tight" w:eastAsia="Inter Tight" w:hAnsi="Inter Tight"/>
          <w:b w:val="0"/>
          <w:bCs w:val="0"/>
          <w:i w:val="0"/>
          <w:iCs w:val="0"/>
          <w:smallCaps w:val="0"/>
          <w:strike w:val="0"/>
          <w:color w:val="445c7e"/>
          <w:sz w:val="21"/>
          <w:szCs w:val="21"/>
          <w:u w:val="none"/>
          <w:shd w:fill="auto" w:val="clear"/>
          <w:vertAlign w:val="baseline"/>
          <w:rtl w:val="0"/>
        </w:rPr>
        <w:t xml:space="preserve">Every engagement is re-scored on the same probe bank at set intervals, so movement is measured against an identical instrument — not a moving target.</w:t>
      </w:r>
    </w:p>
    <w:p w:rsidR="00000000" w:rsidDel="00000000" w:rsidP="00000000" w:rsidRDefault="00000000" w:rsidRPr="00000000" w14:paraId="0000001E">
      <w:pPr>
        <w:pStyle w:val="Heading2"/>
        <w:pBdr>
          <w:bottom w:color="0099d4" w:space="4" w:sz="8" w:val="single"/>
        </w:pBdr>
        <w:spacing w:after="140" w:before="320" w:lineRule="auto"/>
        <w:rPr/>
      </w:pPr>
      <w:r w:rsidDel="00000000" w:rsidR="00000000" w:rsidRPr="00000000">
        <w:rPr>
          <w:rFonts w:ascii="Nunito" w:cs="Nunito" w:eastAsia="Nunito" w:hAnsi="Nunito"/>
          <w:b w:val="1"/>
          <w:bCs w:val="1"/>
          <w:color w:val="091e60"/>
          <w:sz w:val="30"/>
          <w:szCs w:val="30"/>
          <w:rtl w:val="0"/>
        </w:rPr>
        <w:t xml:space="preserve">3.  The Content Quality Gate</w:t>
      </w:r>
      <w:r w:rsidDel="00000000" w:rsidR="00000000" w:rsidRPr="00000000">
        <w:rPr>
          <w:rtl w:val="0"/>
        </w:rPr>
      </w:r>
    </w:p>
    <w:p w:rsidR="00000000" w:rsidDel="00000000" w:rsidP="00000000" w:rsidRDefault="00000000" w:rsidRPr="00000000" w14:paraId="0000001F">
      <w:pPr>
        <w:spacing w:after="140" w:line="300" w:lineRule="auto"/>
        <w:rPr/>
      </w:pPr>
      <w:r w:rsidDel="00000000" w:rsidR="00000000" w:rsidRPr="00000000">
        <w:rPr>
          <w:rFonts w:ascii="Inter Tight" w:cs="Inter Tight" w:eastAsia="Inter Tight" w:hAnsi="Inter Tight"/>
          <w:color w:val="445c7e"/>
          <w:sz w:val="21"/>
          <w:szCs w:val="21"/>
          <w:rtl w:val="0"/>
        </w:rPr>
        <w:t xml:space="preserve">No content produced through Salienci OS reaches publication without passing a </w:t>
      </w:r>
      <w:r w:rsidDel="00000000" w:rsidR="00000000" w:rsidRPr="00000000">
        <w:rPr>
          <w:rFonts w:ascii="Inter Tight" w:cs="Inter Tight" w:eastAsia="Inter Tight" w:hAnsi="Inter Tight"/>
          <w:b w:val="1"/>
          <w:bCs w:val="1"/>
          <w:color w:val="091e60"/>
          <w:sz w:val="21"/>
          <w:szCs w:val="21"/>
          <w:rtl w:val="0"/>
        </w:rPr>
        <w:t xml:space="preserve">475-rule validation framework</w:t>
      </w:r>
      <w:r w:rsidDel="00000000" w:rsidR="00000000" w:rsidRPr="00000000">
        <w:rPr>
          <w:rFonts w:ascii="Inter Tight" w:cs="Inter Tight" w:eastAsia="Inter Tight" w:hAnsi="Inter Tight"/>
          <w:color w:val="445c7e"/>
          <w:sz w:val="21"/>
          <w:szCs w:val="21"/>
          <w:rtl w:val="0"/>
        </w:rPr>
        <w:t xml:space="preserve">, applied in three tiers: deterministic structural checks, linguistic analysis, and AI-judgment evaluation for the dimensions that require reasoning. Content that fails is returned for correction — it is not published and hoped for. Published content is then re-measured through the same probe program that scored the baseline, closing the loop between diagnosis, production, and outcome.</w:t>
      </w:r>
      <w:r w:rsidDel="00000000" w:rsidR="00000000" w:rsidRPr="00000000">
        <w:rPr>
          <w:rtl w:val="0"/>
        </w:rPr>
      </w:r>
    </w:p>
    <w:p w:rsidR="00000000" w:rsidDel="00000000" w:rsidP="00000000" w:rsidRDefault="00000000" w:rsidRPr="00000000" w14:paraId="00000020">
      <w:pPr>
        <w:pStyle w:val="Heading2"/>
        <w:pBdr>
          <w:bottom w:color="0099d4" w:space="4" w:sz="8" w:val="single"/>
        </w:pBdr>
        <w:spacing w:after="140" w:before="320" w:lineRule="auto"/>
        <w:rPr/>
      </w:pPr>
      <w:r w:rsidDel="00000000" w:rsidR="00000000" w:rsidRPr="00000000">
        <w:rPr>
          <w:rFonts w:ascii="Nunito" w:cs="Nunito" w:eastAsia="Nunito" w:hAnsi="Nunito"/>
          <w:b w:val="1"/>
          <w:bCs w:val="1"/>
          <w:color w:val="091e60"/>
          <w:sz w:val="30"/>
          <w:szCs w:val="30"/>
          <w:rtl w:val="0"/>
        </w:rPr>
        <w:t xml:space="preserve">4.  Attribution Confidence — Never Guessed</w:t>
      </w:r>
      <w:r w:rsidDel="00000000" w:rsidR="00000000" w:rsidRPr="00000000">
        <w:rPr>
          <w:rtl w:val="0"/>
        </w:rPr>
      </w:r>
    </w:p>
    <w:p w:rsidR="00000000" w:rsidDel="00000000" w:rsidP="00000000" w:rsidRDefault="00000000" w:rsidRPr="00000000" w14:paraId="00000021">
      <w:pPr>
        <w:spacing w:after="140" w:line="300" w:lineRule="auto"/>
        <w:rPr/>
      </w:pPr>
      <w:r w:rsidDel="00000000" w:rsidR="00000000" w:rsidRPr="00000000">
        <w:rPr>
          <w:rFonts w:ascii="Inter Tight" w:cs="Inter Tight" w:eastAsia="Inter Tight" w:hAnsi="Inter Tight"/>
          <w:color w:val="445c7e"/>
          <w:sz w:val="21"/>
          <w:szCs w:val="21"/>
          <w:rtl w:val="0"/>
        </w:rPr>
        <w:t xml:space="preserve">When Salienci reports that AI visibility produced a lead, a call, or a booking, the claim carries one of five confidence tiers. We publish the taxonomy because attribution claims without a confidence label are marketing, not measurement.</w:t>
      </w:r>
      <w:r w:rsidDel="00000000" w:rsidR="00000000" w:rsidRPr="00000000">
        <w:rPr>
          <w:rtl w:val="0"/>
        </w:rPr>
      </w:r>
    </w:p>
    <w:tbl>
      <w:tblPr>
        <w:tblStyle w:val="Table2"/>
        <w:tblW w:w="9360.0" w:type="dxa"/>
        <w:jc w:val="left"/>
        <w:tblBorders>
          <w:top w:color="e2e8f0" w:space="0" w:sz="4" w:val="single"/>
          <w:left w:color="e2e8f0" w:space="0" w:sz="4" w:val="single"/>
          <w:bottom w:color="e2e8f0" w:space="0" w:sz="4" w:val="single"/>
          <w:right w:color="e2e8f0" w:space="0" w:sz="4" w:val="single"/>
          <w:insideH w:color="e2e8f0" w:space="0" w:sz="4" w:val="single"/>
          <w:insideV w:color="e2e8f0" w:space="0" w:sz="4" w:val="single"/>
        </w:tblBorders>
        <w:tblLayout w:type="fixed"/>
        <w:tblLook w:val="0000"/>
      </w:tblPr>
      <w:tblGrid>
        <w:gridCol w:w="1750"/>
        <w:gridCol w:w="7610"/>
        <w:tblGridChange w:id="0">
          <w:tblGrid>
            <w:gridCol w:w="1750"/>
            <w:gridCol w:w="7610"/>
          </w:tblGrid>
        </w:tblGridChange>
      </w:tblGrid>
      <w:tr>
        <w:trPr>
          <w:cantSplit w:val="0"/>
          <w:tblHeader w:val="1"/>
        </w:trPr>
        <w:tc>
          <w:tcPr>
            <w:shd w:fill="091e60" w:val="clear"/>
            <w:tcMar>
              <w:top w:w="90.0" w:type="dxa"/>
              <w:left w:w="120.0" w:type="dxa"/>
              <w:bottom w:w="90.0" w:type="dxa"/>
              <w:right w:w="120.0" w:type="dxa"/>
            </w:tcMar>
          </w:tcPr>
          <w:p w:rsidR="00000000" w:rsidDel="00000000" w:rsidP="00000000" w:rsidRDefault="00000000" w:rsidRPr="00000000" w14:paraId="00000022">
            <w:pPr>
              <w:spacing w:after="0" w:line="260" w:lineRule="auto"/>
              <w:rPr/>
            </w:pPr>
            <w:r w:rsidDel="00000000" w:rsidR="00000000" w:rsidRPr="00000000">
              <w:rPr>
                <w:rFonts w:ascii="Nunito" w:cs="Nunito" w:eastAsia="Nunito" w:hAnsi="Nunito"/>
                <w:b w:val="1"/>
                <w:bCs w:val="1"/>
                <w:color w:val="ffffff"/>
                <w:sz w:val="19"/>
                <w:szCs w:val="19"/>
                <w:rtl w:val="0"/>
              </w:rPr>
              <w:t xml:space="preserve">Tier</w:t>
            </w:r>
            <w:r w:rsidDel="00000000" w:rsidR="00000000" w:rsidRPr="00000000">
              <w:rPr>
                <w:rtl w:val="0"/>
              </w:rPr>
            </w:r>
          </w:p>
        </w:tc>
        <w:tc>
          <w:tcPr>
            <w:shd w:fill="091e60" w:val="clear"/>
            <w:tcMar>
              <w:top w:w="90.0" w:type="dxa"/>
              <w:left w:w="120.0" w:type="dxa"/>
              <w:bottom w:w="90.0" w:type="dxa"/>
              <w:right w:w="120.0" w:type="dxa"/>
            </w:tcMar>
          </w:tcPr>
          <w:p w:rsidR="00000000" w:rsidDel="00000000" w:rsidP="00000000" w:rsidRDefault="00000000" w:rsidRPr="00000000" w14:paraId="00000023">
            <w:pPr>
              <w:spacing w:after="0" w:line="260" w:lineRule="auto"/>
              <w:rPr/>
            </w:pPr>
            <w:r w:rsidDel="00000000" w:rsidR="00000000" w:rsidRPr="00000000">
              <w:rPr>
                <w:rFonts w:ascii="Nunito" w:cs="Nunito" w:eastAsia="Nunito" w:hAnsi="Nunito"/>
                <w:b w:val="1"/>
                <w:bCs w:val="1"/>
                <w:color w:val="ffffff"/>
                <w:sz w:val="19"/>
                <w:szCs w:val="19"/>
                <w:rtl w:val="0"/>
              </w:rPr>
              <w:t xml:space="preserve">Meaning</w:t>
            </w:r>
            <w:r w:rsidDel="00000000" w:rsidR="00000000" w:rsidRPr="00000000">
              <w:rPr>
                <w:rtl w:val="0"/>
              </w:rPr>
            </w:r>
          </w:p>
        </w:tc>
      </w:tr>
      <w:tr>
        <w:trPr>
          <w:cantSplit w:val="0"/>
          <w:tblHeader w:val="0"/>
        </w:trPr>
        <w:tc>
          <w:tcPr>
            <w:tcMar>
              <w:top w:w="90.0" w:type="dxa"/>
              <w:left w:w="120.0" w:type="dxa"/>
              <w:bottom w:w="90.0" w:type="dxa"/>
              <w:right w:w="120.0" w:type="dxa"/>
            </w:tcMar>
          </w:tcPr>
          <w:p w:rsidR="00000000" w:rsidDel="00000000" w:rsidP="00000000" w:rsidRDefault="00000000" w:rsidRPr="00000000" w14:paraId="00000024">
            <w:pPr>
              <w:spacing w:after="0" w:line="260" w:lineRule="auto"/>
              <w:rPr/>
            </w:pPr>
            <w:r w:rsidDel="00000000" w:rsidR="00000000" w:rsidRPr="00000000">
              <w:rPr>
                <w:rFonts w:ascii="Inter Tight" w:cs="Inter Tight" w:eastAsia="Inter Tight" w:hAnsi="Inter Tight"/>
                <w:b w:val="1"/>
                <w:bCs w:val="1"/>
                <w:color w:val="091e60"/>
                <w:sz w:val="19"/>
                <w:szCs w:val="19"/>
                <w:rtl w:val="0"/>
              </w:rPr>
              <w:t xml:space="preserve">CONFIRMED</w:t>
            </w:r>
            <w:r w:rsidDel="00000000" w:rsidR="00000000" w:rsidRPr="00000000">
              <w:rPr>
                <w:rtl w:val="0"/>
              </w:rPr>
            </w:r>
          </w:p>
        </w:tc>
        <w:tc>
          <w:tcPr>
            <w:tcMar>
              <w:top w:w="90.0" w:type="dxa"/>
              <w:left w:w="120.0" w:type="dxa"/>
              <w:bottom w:w="90.0" w:type="dxa"/>
              <w:right w:w="120.0" w:type="dxa"/>
            </w:tcMar>
          </w:tcPr>
          <w:p w:rsidR="00000000" w:rsidDel="00000000" w:rsidP="00000000" w:rsidRDefault="00000000" w:rsidRPr="00000000" w14:paraId="00000025">
            <w:pPr>
              <w:spacing w:after="0" w:line="260" w:lineRule="auto"/>
              <w:rPr/>
            </w:pPr>
            <w:r w:rsidDel="00000000" w:rsidR="00000000" w:rsidRPr="00000000">
              <w:rPr>
                <w:rFonts w:ascii="Inter Tight" w:cs="Inter Tight" w:eastAsia="Inter Tight" w:hAnsi="Inter Tight"/>
                <w:b w:val="0"/>
                <w:bCs w:val="0"/>
                <w:color w:val="445c7e"/>
                <w:sz w:val="19"/>
                <w:szCs w:val="19"/>
                <w:rtl w:val="0"/>
              </w:rPr>
              <w:t xml:space="preserve">Verifiable proof — an advertising click identifier, a matched customer record, or a verbatim call statement.</w:t>
            </w:r>
            <w:r w:rsidDel="00000000" w:rsidR="00000000" w:rsidRPr="00000000">
              <w:rPr>
                <w:rtl w:val="0"/>
              </w:rPr>
            </w:r>
          </w:p>
        </w:tc>
      </w:tr>
      <w:tr>
        <w:trPr>
          <w:cantSplit w:val="0"/>
          <w:tblHeader w:val="0"/>
        </w:trPr>
        <w:tc>
          <w:tcPr>
            <w:tcMar>
              <w:top w:w="90.0" w:type="dxa"/>
              <w:left w:w="120.0" w:type="dxa"/>
              <w:bottom w:w="90.0" w:type="dxa"/>
              <w:right w:w="120.0" w:type="dxa"/>
            </w:tcMar>
          </w:tcPr>
          <w:p w:rsidR="00000000" w:rsidDel="00000000" w:rsidP="00000000" w:rsidRDefault="00000000" w:rsidRPr="00000000" w14:paraId="00000026">
            <w:pPr>
              <w:spacing w:after="0" w:line="260" w:lineRule="auto"/>
              <w:rPr/>
            </w:pPr>
            <w:r w:rsidDel="00000000" w:rsidR="00000000" w:rsidRPr="00000000">
              <w:rPr>
                <w:rFonts w:ascii="Inter Tight" w:cs="Inter Tight" w:eastAsia="Inter Tight" w:hAnsi="Inter Tight"/>
                <w:b w:val="1"/>
                <w:bCs w:val="1"/>
                <w:color w:val="091e60"/>
                <w:sz w:val="19"/>
                <w:szCs w:val="19"/>
                <w:rtl w:val="0"/>
              </w:rPr>
              <w:t xml:space="preserve">HIGH</w:t>
            </w:r>
            <w:r w:rsidDel="00000000" w:rsidR="00000000" w:rsidRPr="00000000">
              <w:rPr>
                <w:rtl w:val="0"/>
              </w:rPr>
            </w:r>
          </w:p>
        </w:tc>
        <w:tc>
          <w:tcPr>
            <w:tcMar>
              <w:top w:w="90.0" w:type="dxa"/>
              <w:left w:w="120.0" w:type="dxa"/>
              <w:bottom w:w="90.0" w:type="dxa"/>
              <w:right w:w="120.0" w:type="dxa"/>
            </w:tcMar>
          </w:tcPr>
          <w:p w:rsidR="00000000" w:rsidDel="00000000" w:rsidP="00000000" w:rsidRDefault="00000000" w:rsidRPr="00000000" w14:paraId="00000027">
            <w:pPr>
              <w:spacing w:after="0" w:line="260" w:lineRule="auto"/>
              <w:rPr/>
            </w:pPr>
            <w:r w:rsidDel="00000000" w:rsidR="00000000" w:rsidRPr="00000000">
              <w:rPr>
                <w:rFonts w:ascii="Inter Tight" w:cs="Inter Tight" w:eastAsia="Inter Tight" w:hAnsi="Inter Tight"/>
                <w:b w:val="0"/>
                <w:bCs w:val="0"/>
                <w:color w:val="445c7e"/>
                <w:sz w:val="19"/>
                <w:szCs w:val="19"/>
                <w:rtl w:val="0"/>
              </w:rPr>
              <w:t xml:space="preserve">Strong signal — an AI assistant or search engine detected as the referring source.</w:t>
            </w:r>
            <w:r w:rsidDel="00000000" w:rsidR="00000000" w:rsidRPr="00000000">
              <w:rPr>
                <w:rtl w:val="0"/>
              </w:rPr>
            </w:r>
          </w:p>
        </w:tc>
      </w:tr>
      <w:tr>
        <w:trPr>
          <w:cantSplit w:val="0"/>
          <w:tblHeader w:val="0"/>
        </w:trPr>
        <w:tc>
          <w:tcPr>
            <w:tcMar>
              <w:top w:w="90.0" w:type="dxa"/>
              <w:left w:w="120.0" w:type="dxa"/>
              <w:bottom w:w="90.0" w:type="dxa"/>
              <w:right w:w="120.0" w:type="dxa"/>
            </w:tcMar>
          </w:tcPr>
          <w:p w:rsidR="00000000" w:rsidDel="00000000" w:rsidP="00000000" w:rsidRDefault="00000000" w:rsidRPr="00000000" w14:paraId="00000028">
            <w:pPr>
              <w:spacing w:after="0" w:line="260" w:lineRule="auto"/>
              <w:rPr/>
            </w:pPr>
            <w:r w:rsidDel="00000000" w:rsidR="00000000" w:rsidRPr="00000000">
              <w:rPr>
                <w:rFonts w:ascii="Inter Tight" w:cs="Inter Tight" w:eastAsia="Inter Tight" w:hAnsi="Inter Tight"/>
                <w:b w:val="1"/>
                <w:bCs w:val="1"/>
                <w:color w:val="091e60"/>
                <w:sz w:val="19"/>
                <w:szCs w:val="19"/>
                <w:rtl w:val="0"/>
              </w:rPr>
              <w:t xml:space="preserve">MODERATE</w:t>
            </w:r>
            <w:r w:rsidDel="00000000" w:rsidR="00000000" w:rsidRPr="00000000">
              <w:rPr>
                <w:rtl w:val="0"/>
              </w:rPr>
            </w:r>
          </w:p>
        </w:tc>
        <w:tc>
          <w:tcPr>
            <w:tcMar>
              <w:top w:w="90.0" w:type="dxa"/>
              <w:left w:w="120.0" w:type="dxa"/>
              <w:bottom w:w="90.0" w:type="dxa"/>
              <w:right w:w="120.0" w:type="dxa"/>
            </w:tcMar>
          </w:tcPr>
          <w:p w:rsidR="00000000" w:rsidDel="00000000" w:rsidP="00000000" w:rsidRDefault="00000000" w:rsidRPr="00000000" w14:paraId="00000029">
            <w:pPr>
              <w:spacing w:after="0" w:line="260" w:lineRule="auto"/>
              <w:rPr/>
            </w:pPr>
            <w:r w:rsidDel="00000000" w:rsidR="00000000" w:rsidRPr="00000000">
              <w:rPr>
                <w:rFonts w:ascii="Inter Tight" w:cs="Inter Tight" w:eastAsia="Inter Tight" w:hAnsi="Inter Tight"/>
                <w:b w:val="0"/>
                <w:bCs w:val="0"/>
                <w:color w:val="445c7e"/>
                <w:sz w:val="19"/>
                <w:szCs w:val="19"/>
                <w:rtl w:val="0"/>
              </w:rPr>
              <w:t xml:space="preserve">Declared by link tagging or aggregate estimate; not independently verified.</w:t>
            </w:r>
            <w:r w:rsidDel="00000000" w:rsidR="00000000" w:rsidRPr="00000000">
              <w:rPr>
                <w:rtl w:val="0"/>
              </w:rPr>
            </w:r>
          </w:p>
        </w:tc>
      </w:tr>
      <w:tr>
        <w:trPr>
          <w:cantSplit w:val="0"/>
          <w:tblHeader w:val="0"/>
        </w:trPr>
        <w:tc>
          <w:tcPr>
            <w:tcMar>
              <w:top w:w="90.0" w:type="dxa"/>
              <w:left w:w="120.0" w:type="dxa"/>
              <w:bottom w:w="90.0" w:type="dxa"/>
              <w:right w:w="120.0" w:type="dxa"/>
            </w:tcMar>
          </w:tcPr>
          <w:p w:rsidR="00000000" w:rsidDel="00000000" w:rsidP="00000000" w:rsidRDefault="00000000" w:rsidRPr="00000000" w14:paraId="0000002A">
            <w:pPr>
              <w:spacing w:after="0" w:line="260" w:lineRule="auto"/>
              <w:rPr/>
            </w:pPr>
            <w:r w:rsidDel="00000000" w:rsidR="00000000" w:rsidRPr="00000000">
              <w:rPr>
                <w:rFonts w:ascii="Inter Tight" w:cs="Inter Tight" w:eastAsia="Inter Tight" w:hAnsi="Inter Tight"/>
                <w:b w:val="1"/>
                <w:bCs w:val="1"/>
                <w:color w:val="091e60"/>
                <w:sz w:val="19"/>
                <w:szCs w:val="19"/>
                <w:rtl w:val="0"/>
              </w:rPr>
              <w:t xml:space="preserve">CONTRIBUTING</w:t>
            </w:r>
            <w:r w:rsidDel="00000000" w:rsidR="00000000" w:rsidRPr="00000000">
              <w:rPr>
                <w:rtl w:val="0"/>
              </w:rPr>
            </w:r>
          </w:p>
        </w:tc>
        <w:tc>
          <w:tcPr>
            <w:tcMar>
              <w:top w:w="90.0" w:type="dxa"/>
              <w:left w:w="120.0" w:type="dxa"/>
              <w:bottom w:w="90.0" w:type="dxa"/>
              <w:right w:w="120.0" w:type="dxa"/>
            </w:tcMar>
          </w:tcPr>
          <w:p w:rsidR="00000000" w:rsidDel="00000000" w:rsidP="00000000" w:rsidRDefault="00000000" w:rsidRPr="00000000" w14:paraId="0000002B">
            <w:pPr>
              <w:spacing w:after="0" w:line="260" w:lineRule="auto"/>
              <w:rPr/>
            </w:pPr>
            <w:r w:rsidDel="00000000" w:rsidR="00000000" w:rsidRPr="00000000">
              <w:rPr>
                <w:rFonts w:ascii="Inter Tight" w:cs="Inter Tight" w:eastAsia="Inter Tight" w:hAnsi="Inter Tight"/>
                <w:b w:val="0"/>
                <w:bCs w:val="0"/>
                <w:color w:val="445c7e"/>
                <w:sz w:val="19"/>
                <w:szCs w:val="19"/>
                <w:rtl w:val="0"/>
              </w:rPr>
              <w:t xml:space="preserve">The channel helped but did not solely cause the lead. Partial credit only.</w:t>
            </w:r>
            <w:r w:rsidDel="00000000" w:rsidR="00000000" w:rsidRPr="00000000">
              <w:rPr>
                <w:rtl w:val="0"/>
              </w:rPr>
            </w:r>
          </w:p>
        </w:tc>
      </w:tr>
      <w:tr>
        <w:trPr>
          <w:cantSplit w:val="0"/>
          <w:tblHeader w:val="0"/>
        </w:trPr>
        <w:tc>
          <w:tcPr>
            <w:tcMar>
              <w:top w:w="90.0" w:type="dxa"/>
              <w:left w:w="120.0" w:type="dxa"/>
              <w:bottom w:w="90.0" w:type="dxa"/>
              <w:right w:w="120.0" w:type="dxa"/>
            </w:tcMar>
          </w:tcPr>
          <w:p w:rsidR="00000000" w:rsidDel="00000000" w:rsidP="00000000" w:rsidRDefault="00000000" w:rsidRPr="00000000" w14:paraId="0000002C">
            <w:pPr>
              <w:spacing w:after="0" w:line="260" w:lineRule="auto"/>
              <w:rPr/>
            </w:pPr>
            <w:r w:rsidDel="00000000" w:rsidR="00000000" w:rsidRPr="00000000">
              <w:rPr>
                <w:rFonts w:ascii="Inter Tight" w:cs="Inter Tight" w:eastAsia="Inter Tight" w:hAnsi="Inter Tight"/>
                <w:b w:val="1"/>
                <w:bCs w:val="1"/>
                <w:color w:val="091e60"/>
                <w:sz w:val="19"/>
                <w:szCs w:val="19"/>
                <w:rtl w:val="0"/>
              </w:rPr>
              <w:t xml:space="preserve">UNKNOWN</w:t>
            </w:r>
            <w:r w:rsidDel="00000000" w:rsidR="00000000" w:rsidRPr="00000000">
              <w:rPr>
                <w:rtl w:val="0"/>
              </w:rPr>
            </w:r>
          </w:p>
        </w:tc>
        <w:tc>
          <w:tcPr>
            <w:tcMar>
              <w:top w:w="90.0" w:type="dxa"/>
              <w:left w:w="120.0" w:type="dxa"/>
              <w:bottom w:w="90.0" w:type="dxa"/>
              <w:right w:w="120.0" w:type="dxa"/>
            </w:tcMar>
          </w:tcPr>
          <w:p w:rsidR="00000000" w:rsidDel="00000000" w:rsidP="00000000" w:rsidRDefault="00000000" w:rsidRPr="00000000" w14:paraId="0000002D">
            <w:pPr>
              <w:spacing w:after="0" w:line="260" w:lineRule="auto"/>
              <w:rPr/>
            </w:pPr>
            <w:r w:rsidDel="00000000" w:rsidR="00000000" w:rsidRPr="00000000">
              <w:rPr>
                <w:rFonts w:ascii="Inter Tight" w:cs="Inter Tight" w:eastAsia="Inter Tight" w:hAnsi="Inter Tight"/>
                <w:b w:val="0"/>
                <w:bCs w:val="0"/>
                <w:color w:val="445c7e"/>
                <w:sz w:val="19"/>
                <w:szCs w:val="19"/>
                <w:rtl w:val="0"/>
              </w:rPr>
              <w:t xml:space="preserve">Evidence insufficient. Reported honestly — never guessed.</w:t>
            </w:r>
            <w:r w:rsidDel="00000000" w:rsidR="00000000" w:rsidRPr="00000000">
              <w:rPr>
                <w:rtl w:val="0"/>
              </w:rPr>
            </w:r>
          </w:p>
        </w:tc>
      </w:tr>
    </w:tbl>
    <w:p w:rsidR="00000000" w:rsidDel="00000000" w:rsidP="00000000" w:rsidRDefault="00000000" w:rsidRPr="00000000" w14:paraId="0000002E">
      <w:pPr>
        <w:spacing w:after="160" w:lineRule="auto"/>
        <w:rPr/>
      </w:pPr>
      <w:r w:rsidDel="00000000" w:rsidR="00000000" w:rsidRPr="00000000">
        <w:rPr>
          <w:rtl w:val="0"/>
        </w:rPr>
      </w:r>
    </w:p>
    <w:p w:rsidR="00000000" w:rsidDel="00000000" w:rsidP="00000000" w:rsidRDefault="00000000" w:rsidRPr="00000000" w14:paraId="0000002F">
      <w:pPr>
        <w:pStyle w:val="Heading2"/>
        <w:pBdr>
          <w:bottom w:color="0099d4" w:space="4" w:sz="8" w:val="single"/>
        </w:pBdr>
        <w:spacing w:after="140" w:before="320" w:lineRule="auto"/>
        <w:rPr/>
      </w:pPr>
      <w:r w:rsidDel="00000000" w:rsidR="00000000" w:rsidRPr="00000000">
        <w:rPr>
          <w:rFonts w:ascii="Nunito" w:cs="Nunito" w:eastAsia="Nunito" w:hAnsi="Nunito"/>
          <w:b w:val="1"/>
          <w:bCs w:val="1"/>
          <w:color w:val="091e60"/>
          <w:sz w:val="30"/>
          <w:szCs w:val="30"/>
          <w:rtl w:val="0"/>
        </w:rPr>
        <w:t xml:space="preserve">5.  Data Integrity Commitments</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90" w:lineRule="auto"/>
        <w:ind w:left="360" w:right="0" w:hanging="200"/>
        <w:jc w:val="left"/>
        <w:rPr/>
      </w:pPr>
      <w:r w:rsidDel="00000000" w:rsidR="00000000" w:rsidRPr="00000000">
        <w:rPr>
          <w:rFonts w:ascii="Inter Tight" w:cs="Inter Tight" w:eastAsia="Inter Tight" w:hAnsi="Inter Tight"/>
          <w:b w:val="1"/>
          <w:bCs w:val="1"/>
          <w:i w:val="0"/>
          <w:iCs w:val="0"/>
          <w:smallCaps w:val="0"/>
          <w:strike w:val="0"/>
          <w:color w:val="091e60"/>
          <w:sz w:val="21"/>
          <w:szCs w:val="21"/>
          <w:u w:val="none"/>
          <w:shd w:fill="auto" w:val="clear"/>
          <w:vertAlign w:val="baseline"/>
          <w:rtl w:val="0"/>
        </w:rPr>
        <w:t xml:space="preserve">Provenance on every number. </w:t>
      </w:r>
      <w:r w:rsidDel="00000000" w:rsidR="00000000" w:rsidRPr="00000000">
        <w:rPr>
          <w:rFonts w:ascii="Inter Tight" w:cs="Inter Tight" w:eastAsia="Inter Tight" w:hAnsi="Inter Tight"/>
          <w:b w:val="0"/>
          <w:bCs w:val="0"/>
          <w:i w:val="0"/>
          <w:iCs w:val="0"/>
          <w:smallCaps w:val="0"/>
          <w:strike w:val="0"/>
          <w:color w:val="445c7e"/>
          <w:sz w:val="21"/>
          <w:szCs w:val="21"/>
          <w:u w:val="none"/>
          <w:shd w:fill="auto" w:val="clear"/>
          <w:vertAlign w:val="baseline"/>
          <w:rtl w:val="0"/>
        </w:rPr>
        <w:t xml:space="preserve">Every emitted score is labeled LIVE, CACHED, ESTIMATE, or UNAVAILABLE. Missing data is reported as UNAVAILABLE — it is never invented.</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90" w:lineRule="auto"/>
        <w:ind w:left="360" w:right="0" w:hanging="200"/>
        <w:jc w:val="left"/>
        <w:rPr/>
      </w:pPr>
      <w:r w:rsidDel="00000000" w:rsidR="00000000" w:rsidRPr="00000000">
        <w:rPr>
          <w:rFonts w:ascii="Inter Tight" w:cs="Inter Tight" w:eastAsia="Inter Tight" w:hAnsi="Inter Tight"/>
          <w:b w:val="1"/>
          <w:bCs w:val="1"/>
          <w:i w:val="0"/>
          <w:iCs w:val="0"/>
          <w:smallCaps w:val="0"/>
          <w:strike w:val="0"/>
          <w:color w:val="091e60"/>
          <w:sz w:val="21"/>
          <w:szCs w:val="21"/>
          <w:u w:val="none"/>
          <w:shd w:fill="auto" w:val="clear"/>
          <w:vertAlign w:val="baseline"/>
          <w:rtl w:val="0"/>
        </w:rPr>
        <w:t xml:space="preserve">Ranges, not point promises. </w:t>
      </w:r>
      <w:r w:rsidDel="00000000" w:rsidR="00000000" w:rsidRPr="00000000">
        <w:rPr>
          <w:rFonts w:ascii="Inter Tight" w:cs="Inter Tight" w:eastAsia="Inter Tight" w:hAnsi="Inter Tight"/>
          <w:b w:val="0"/>
          <w:bCs w:val="0"/>
          <w:i w:val="0"/>
          <w:iCs w:val="0"/>
          <w:smallCaps w:val="0"/>
          <w:strike w:val="0"/>
          <w:color w:val="445c7e"/>
          <w:sz w:val="21"/>
          <w:szCs w:val="21"/>
          <w:u w:val="none"/>
          <w:shd w:fill="auto" w:val="clear"/>
          <w:vertAlign w:val="baseline"/>
          <w:rtl w:val="0"/>
        </w:rPr>
        <w:t xml:space="preserve">Score targets are always expressed as ranges. A single-digit promise about a probabilistic system is a sales device, not a measurement.</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90" w:lineRule="auto"/>
        <w:ind w:left="360" w:right="0" w:hanging="200"/>
        <w:jc w:val="left"/>
        <w:rPr/>
      </w:pPr>
      <w:r w:rsidDel="00000000" w:rsidR="00000000" w:rsidRPr="00000000">
        <w:rPr>
          <w:rFonts w:ascii="Inter Tight" w:cs="Inter Tight" w:eastAsia="Inter Tight" w:hAnsi="Inter Tight"/>
          <w:b w:val="1"/>
          <w:bCs w:val="1"/>
          <w:i w:val="0"/>
          <w:iCs w:val="0"/>
          <w:smallCaps w:val="0"/>
          <w:strike w:val="0"/>
          <w:color w:val="091e60"/>
          <w:sz w:val="21"/>
          <w:szCs w:val="21"/>
          <w:u w:val="none"/>
          <w:shd w:fill="auto" w:val="clear"/>
          <w:vertAlign w:val="baseline"/>
          <w:rtl w:val="0"/>
        </w:rPr>
        <w:t xml:space="preserve">Same instrument, every cycle. </w:t>
      </w:r>
      <w:r w:rsidDel="00000000" w:rsidR="00000000" w:rsidRPr="00000000">
        <w:rPr>
          <w:rFonts w:ascii="Inter Tight" w:cs="Inter Tight" w:eastAsia="Inter Tight" w:hAnsi="Inter Tight"/>
          <w:b w:val="0"/>
          <w:bCs w:val="0"/>
          <w:i w:val="0"/>
          <w:iCs w:val="0"/>
          <w:smallCaps w:val="0"/>
          <w:strike w:val="0"/>
          <w:color w:val="445c7e"/>
          <w:sz w:val="21"/>
          <w:szCs w:val="21"/>
          <w:u w:val="none"/>
          <w:shd w:fill="auto" w:val="clear"/>
          <w:vertAlign w:val="baseline"/>
          <w:rtl w:val="0"/>
        </w:rPr>
        <w:t xml:space="preserve">Baselines and re-scores run on the identical probe bank, so improvement is attributable to the work — not to a changed yardstick.</w:t>
      </w:r>
    </w:p>
    <w:p w:rsidR="00000000" w:rsidDel="00000000" w:rsidP="00000000" w:rsidRDefault="00000000" w:rsidRPr="00000000" w14:paraId="00000033">
      <w:pPr>
        <w:pStyle w:val="Heading2"/>
        <w:pBdr>
          <w:bottom w:color="0099d4" w:space="4" w:sz="8" w:val="single"/>
        </w:pBdr>
        <w:spacing w:after="140" w:before="320" w:lineRule="auto"/>
        <w:rPr/>
      </w:pPr>
      <w:r w:rsidDel="00000000" w:rsidR="00000000" w:rsidRPr="00000000">
        <w:rPr>
          <w:rFonts w:ascii="Nunito" w:cs="Nunito" w:eastAsia="Nunito" w:hAnsi="Nunito"/>
          <w:b w:val="1"/>
          <w:bCs w:val="1"/>
          <w:color w:val="091e60"/>
          <w:sz w:val="30"/>
          <w:szCs w:val="30"/>
          <w:rtl w:val="0"/>
        </w:rPr>
        <w:t xml:space="preserve">6.  Known Limitations</w:t>
      </w:r>
      <w:r w:rsidDel="00000000" w:rsidR="00000000" w:rsidRPr="00000000">
        <w:rPr>
          <w:rtl w:val="0"/>
        </w:rPr>
      </w:r>
    </w:p>
    <w:p w:rsidR="00000000" w:rsidDel="00000000" w:rsidP="00000000" w:rsidRDefault="00000000" w:rsidRPr="00000000" w14:paraId="00000034">
      <w:pPr>
        <w:spacing w:after="140" w:line="300" w:lineRule="auto"/>
        <w:rPr/>
      </w:pPr>
      <w:r w:rsidDel="00000000" w:rsidR="00000000" w:rsidRPr="00000000">
        <w:rPr>
          <w:rFonts w:ascii="Inter Tight" w:cs="Inter Tight" w:eastAsia="Inter Tight" w:hAnsi="Inter Tight"/>
          <w:color w:val="445c7e"/>
          <w:sz w:val="21"/>
          <w:szCs w:val="21"/>
          <w:rtl w:val="0"/>
        </w:rPr>
        <w:t xml:space="preserve">A methodology that hides its limits should not be trusted with your budget. Ours are these:</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90" w:lineRule="auto"/>
        <w:ind w:left="360" w:right="0" w:hanging="200"/>
        <w:jc w:val="left"/>
        <w:rPr/>
      </w:pPr>
      <w:r w:rsidDel="00000000" w:rsidR="00000000" w:rsidRPr="00000000">
        <w:rPr>
          <w:rFonts w:ascii="Inter Tight" w:cs="Inter Tight" w:eastAsia="Inter Tight" w:hAnsi="Inter Tight"/>
          <w:b w:val="0"/>
          <w:bCs w:val="0"/>
          <w:i w:val="0"/>
          <w:iCs w:val="0"/>
          <w:smallCaps w:val="0"/>
          <w:strike w:val="0"/>
          <w:color w:val="445c7e"/>
          <w:sz w:val="21"/>
          <w:szCs w:val="21"/>
          <w:u w:val="none"/>
          <w:shd w:fill="auto" w:val="clear"/>
          <w:vertAlign w:val="baseline"/>
          <w:rtl w:val="0"/>
        </w:rPr>
        <w:t xml:space="preserve">AI answer engines are non-deterministic. The probe program is a structured, repeated sample of real buyer demand — a rigorous sample, not a census of every possible question.</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90" w:lineRule="auto"/>
        <w:ind w:left="360" w:right="0" w:hanging="200"/>
        <w:jc w:val="left"/>
        <w:rPr/>
      </w:pPr>
      <w:r w:rsidDel="00000000" w:rsidR="00000000" w:rsidRPr="00000000">
        <w:rPr>
          <w:rFonts w:ascii="Inter Tight" w:cs="Inter Tight" w:eastAsia="Inter Tight" w:hAnsi="Inter Tight"/>
          <w:b w:val="0"/>
          <w:bCs w:val="0"/>
          <w:i w:val="0"/>
          <w:iCs w:val="0"/>
          <w:smallCaps w:val="0"/>
          <w:strike w:val="0"/>
          <w:color w:val="445c7e"/>
          <w:sz w:val="21"/>
          <w:szCs w:val="21"/>
          <w:u w:val="none"/>
          <w:shd w:fill="auto" w:val="clear"/>
          <w:vertAlign w:val="baseline"/>
          <w:rtl w:val="0"/>
        </w:rPr>
        <w:t xml:space="preserve">Citation outcomes converge over roughly 60–90 days after access and content fixes land. Anyone promising instant citation movement is describing a system that does not exist.</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90" w:lineRule="auto"/>
        <w:ind w:left="360" w:right="0" w:hanging="200"/>
        <w:jc w:val="left"/>
        <w:rPr/>
      </w:pPr>
      <w:r w:rsidDel="00000000" w:rsidR="00000000" w:rsidRPr="00000000">
        <w:rPr>
          <w:rFonts w:ascii="Inter Tight" w:cs="Inter Tight" w:eastAsia="Inter Tight" w:hAnsi="Inter Tight"/>
          <w:b w:val="0"/>
          <w:bCs w:val="0"/>
          <w:i w:val="0"/>
          <w:iCs w:val="0"/>
          <w:smallCaps w:val="0"/>
          <w:strike w:val="0"/>
          <w:color w:val="445c7e"/>
          <w:sz w:val="21"/>
          <w:szCs w:val="21"/>
          <w:u w:val="none"/>
          <w:shd w:fill="auto" w:val="clear"/>
          <w:vertAlign w:val="baseline"/>
          <w:rtl w:val="0"/>
        </w:rPr>
        <w:t xml:space="preserve">Benchmark comparisons are drawn from our measurement base, which is growing through our beta program; benchmark figures are labeled as such until the base supports broader claims.</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90" w:lineRule="auto"/>
        <w:ind w:left="360" w:right="0" w:hanging="200"/>
        <w:jc w:val="left"/>
        <w:rPr/>
      </w:pPr>
      <w:r w:rsidDel="00000000" w:rsidR="00000000" w:rsidRPr="00000000">
        <w:rPr>
          <w:rFonts w:ascii="Inter Tight" w:cs="Inter Tight" w:eastAsia="Inter Tight" w:hAnsi="Inter Tight"/>
          <w:b w:val="0"/>
          <w:bCs w:val="0"/>
          <w:i w:val="0"/>
          <w:iCs w:val="0"/>
          <w:smallCaps w:val="0"/>
          <w:strike w:val="0"/>
          <w:color w:val="445c7e"/>
          <w:sz w:val="21"/>
          <w:szCs w:val="21"/>
          <w:u w:val="none"/>
          <w:shd w:fill="auto" w:val="clear"/>
          <w:vertAlign w:val="baseline"/>
          <w:rtl w:val="0"/>
        </w:rPr>
        <w:t xml:space="preserve">Third-party AI platforms change behavior without notice. Cadenced re-measurement is the control for this; immunity to it is impossible.</w:t>
      </w:r>
    </w:p>
    <w:p w:rsidR="00000000" w:rsidDel="00000000" w:rsidP="00000000" w:rsidRDefault="00000000" w:rsidRPr="00000000" w14:paraId="00000039">
      <w:pPr>
        <w:pStyle w:val="Heading2"/>
        <w:pBdr>
          <w:bottom w:color="0099d4" w:space="4" w:sz="8" w:val="single"/>
        </w:pBdr>
        <w:spacing w:after="140" w:before="320" w:lineRule="auto"/>
        <w:rPr/>
      </w:pPr>
      <w:r w:rsidDel="00000000" w:rsidR="00000000" w:rsidRPr="00000000">
        <w:rPr>
          <w:rFonts w:ascii="Nunito" w:cs="Nunito" w:eastAsia="Nunito" w:hAnsi="Nunito"/>
          <w:b w:val="1"/>
          <w:bCs w:val="1"/>
          <w:color w:val="091e60"/>
          <w:sz w:val="30"/>
          <w:szCs w:val="30"/>
          <w:rtl w:val="0"/>
        </w:rPr>
        <w:t xml:space="preserve">7.  What We Do Not Publish — and Why</w:t>
      </w:r>
      <w:r w:rsidDel="00000000" w:rsidR="00000000" w:rsidRPr="00000000">
        <w:rPr>
          <w:rtl w:val="0"/>
        </w:rPr>
      </w:r>
    </w:p>
    <w:p w:rsidR="00000000" w:rsidDel="00000000" w:rsidP="00000000" w:rsidRDefault="00000000" w:rsidRPr="00000000" w14:paraId="0000003A">
      <w:pPr>
        <w:spacing w:after="140" w:line="300" w:lineRule="auto"/>
        <w:rPr/>
      </w:pPr>
      <w:r w:rsidDel="00000000" w:rsidR="00000000" w:rsidRPr="00000000">
        <w:rPr>
          <w:rFonts w:ascii="Inter Tight" w:cs="Inter Tight" w:eastAsia="Inter Tight" w:hAnsi="Inter Tight"/>
          <w:color w:val="445c7e"/>
          <w:sz w:val="21"/>
          <w:szCs w:val="21"/>
          <w:rtl w:val="0"/>
        </w:rPr>
        <w:t xml:space="preserve">The composite weighting, the probe construction method, and the scoring mathematics are the audited core of the framework and are not published. They are available under NDA to clients and to independent auditors. The distinction we hold to: the framework is the intellectual property; the score — and everything in this document — is the artifact you are entitled to understand before you rely on it.</w:t>
      </w:r>
      <w:r w:rsidDel="00000000" w:rsidR="00000000" w:rsidRPr="00000000">
        <w:rPr>
          <w:rtl w:val="0"/>
        </w:rPr>
      </w:r>
    </w:p>
    <w:p w:rsidR="00000000" w:rsidDel="00000000" w:rsidP="00000000" w:rsidRDefault="00000000" w:rsidRPr="00000000" w14:paraId="0000003B">
      <w:pPr>
        <w:spacing w:after="80" w:lineRule="auto"/>
        <w:rPr/>
      </w:pPr>
      <w:r w:rsidDel="00000000" w:rsidR="00000000" w:rsidRPr="00000000">
        <w:rPr>
          <w:rtl w:val="0"/>
        </w:rPr>
      </w:r>
    </w:p>
    <w:tbl>
      <w:tblPr>
        <w:tblStyle w:val="Table3"/>
        <w:tblW w:w="9360.0" w:type="dxa"/>
        <w:jc w:val="left"/>
        <w:tblBorders>
          <w:top w:color="000000" w:space="0" w:sz="0" w:val="nil"/>
          <w:left w:color="091e60" w:space="0" w:sz="24" w:val="single"/>
          <w:bottom w:color="000000" w:space="0" w:sz="0" w:val="nil"/>
          <w:right w:color="000000" w:space="0" w:sz="0" w:val="nil"/>
          <w:insideH w:color="000000" w:space="0" w:sz="0" w:val="nil"/>
          <w:insideV w:color="000000" w:space="0" w:sz="0" w:val="nil"/>
        </w:tblBorders>
        <w:tblLayout w:type="fixed"/>
        <w:tblLook w:val="0000"/>
      </w:tblPr>
      <w:tblGrid>
        <w:gridCol w:w="9360"/>
        <w:tblGridChange w:id="0">
          <w:tblGrid>
            <w:gridCol w:w="9360"/>
          </w:tblGrid>
        </w:tblGridChange>
      </w:tblGrid>
      <w:tr>
        <w:trPr>
          <w:cantSplit w:val="0"/>
          <w:tblHeader w:val="0"/>
        </w:trPr>
        <w:tc>
          <w:tcPr>
            <w:shd w:fill="eff4f9" w:val="clear"/>
            <w:tcMar>
              <w:top w:w="120.0" w:type="dxa"/>
              <w:left w:w="180.0" w:type="dxa"/>
              <w:bottom w:w="120.0" w:type="dxa"/>
              <w:right w:w="180.0" w:type="dxa"/>
            </w:tcMar>
          </w:tcPr>
          <w:p w:rsidR="00000000" w:rsidDel="00000000" w:rsidP="00000000" w:rsidRDefault="00000000" w:rsidRPr="00000000" w14:paraId="0000003C">
            <w:pPr>
              <w:spacing w:after="0" w:line="290" w:lineRule="auto"/>
              <w:rPr/>
            </w:pPr>
            <w:r w:rsidDel="00000000" w:rsidR="00000000" w:rsidRPr="00000000">
              <w:rPr>
                <w:rFonts w:ascii="Nunito" w:cs="Nunito" w:eastAsia="Nunito" w:hAnsi="Nunito"/>
                <w:b w:val="1"/>
                <w:bCs w:val="1"/>
                <w:color w:val="091e60"/>
                <w:sz w:val="20"/>
                <w:szCs w:val="20"/>
                <w:rtl w:val="0"/>
              </w:rPr>
              <w:t xml:space="preserve">METHOD QUESTIONS  </w:t>
            </w:r>
            <w:r w:rsidDel="00000000" w:rsidR="00000000" w:rsidRPr="00000000">
              <w:rPr>
                <w:rFonts w:ascii="Inter Tight" w:cs="Inter Tight" w:eastAsia="Inter Tight" w:hAnsi="Inter Tight"/>
                <w:color w:val="445c7e"/>
                <w:sz w:val="20"/>
                <w:szCs w:val="20"/>
                <w:rtl w:val="0"/>
              </w:rPr>
              <w:t xml:space="preserve">Written methodology questions are answered publicly at salienci.ai. If we cannot defend an element of this method in writing, we will change the method — not the answer.</w:t>
            </w:r>
            <w:r w:rsidDel="00000000" w:rsidR="00000000" w:rsidRPr="00000000">
              <w:rPr>
                <w:rtl w:val="0"/>
              </w:rPr>
            </w:r>
          </w:p>
        </w:tc>
      </w:tr>
    </w:tbl>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7" w:type="default"/>
      <w:footerReference r:id="rId8" w:type="default"/>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T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color="e2e8f0" w:space="0" w:sz="4" w:val="single"/>
      </w:pBdr>
      <w:tabs>
        <w:tab w:val="right" w:leader="none" w:pos="9360"/>
      </w:tabs>
      <w:spacing w:before="60" w:lineRule="auto"/>
      <w:rPr/>
    </w:pPr>
    <w:r w:rsidDel="00000000" w:rsidR="00000000" w:rsidRPr="00000000">
      <w:rPr>
        <w:rFonts w:ascii="Quattrocento Sans" w:cs="Quattrocento Sans" w:eastAsia="Quattrocento Sans" w:hAnsi="Quattrocento Sans"/>
        <w:color w:val="475569"/>
        <w:sz w:val="16"/>
        <w:szCs w:val="16"/>
        <w:rtl w:val="0"/>
      </w:rPr>
      <w:t xml:space="preserve">© 2026 Salienci.ai</w:t>
      <w:tab/>
      <w:t xml:space="preserve">Page </w:t>
    </w:r>
    <w:r w:rsidDel="00000000" w:rsidR="00000000" w:rsidRPr="00000000">
      <w:rPr>
        <w:rFonts w:ascii="Quattrocento Sans" w:cs="Quattrocento Sans" w:eastAsia="Quattrocento Sans" w:hAnsi="Quattrocento Sans"/>
        <w:color w:val="475569"/>
        <w:sz w:val="16"/>
        <w:szCs w:val="16"/>
      </w:rPr>
      <w:fldChar w:fldCharType="begin"/>
      <w:instrText xml:space="preserve">PAGE</w:instrText>
      <w:fldChar w:fldCharType="separate"/>
      <w:fldChar w:fldCharType="end"/>
    </w:r>
    <w:r w:rsidDel="00000000" w:rsidR="00000000" w:rsidRPr="00000000">
      <w:rPr>
        <w:rFonts w:ascii="Quattrocento Sans" w:cs="Quattrocento Sans" w:eastAsia="Quattrocento Sans" w:hAnsi="Quattrocento Sans"/>
        <w:color w:val="475569"/>
        <w:sz w:val="16"/>
        <w:szCs w:val="16"/>
        <w:rtl w:val="0"/>
      </w:rPr>
      <w:t xml:space="preserve"> of </w:t>
    </w:r>
    <w:r w:rsidDel="00000000" w:rsidR="00000000" w:rsidRPr="00000000">
      <w:rPr>
        <w:rFonts w:ascii="Quattrocento Sans" w:cs="Quattrocento Sans" w:eastAsia="Quattrocento Sans" w:hAnsi="Quattrocento Sans"/>
        <w:color w:val="475569"/>
        <w:sz w:val="16"/>
        <w:szCs w:val="16"/>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tabs>
        <w:tab w:val="center" w:leader="none" w:pos="4680"/>
      </w:tabs>
      <w:spacing w:after="120" w:lineRule="auto"/>
      <w:rPr/>
    </w:pPr>
    <w:r w:rsidDel="00000000" w:rsidR="00000000" w:rsidRPr="00000000">
      <w:rPr/>
      <w:drawing>
        <wp:inline distB="0" distT="0" distL="0" distR="0">
          <wp:extent cx="1828800" cy="476250"/>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828800" cy="476250"/>
                  </a:xfrm>
                  <a:prstGeom prst="rect"/>
                  <a:ln/>
                </pic:spPr>
              </pic:pic>
            </a:graphicData>
          </a:graphic>
        </wp:inline>
      </w:drawing>
    </w:r>
    <w:r w:rsidDel="00000000" w:rsidR="00000000" w:rsidRPr="00000000">
      <w:rPr>
        <w:rFonts w:ascii="Quattrocento Sans" w:cs="Quattrocento Sans" w:eastAsia="Quattrocento Sans" w:hAnsi="Quattrocento Sans"/>
        <w:color w:val="94a3b8"/>
        <w:sz w:val="12"/>
        <w:szCs w:val="12"/>
        <w:rtl w:val="0"/>
      </w:rPr>
      <w:tab/>
      <w:t xml:space="preserve">The Salienci Score — Measurement Methodology · Salienci.ai</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20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Tight" w:cs="Inter Tight" w:eastAsia="Inter Tight" w:hAnsi="Inter Tight"/>
        <w:color w:val="445c7e"/>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Tight" w:cs="Inter Tight" w:eastAsia="Inter Tight" w:hAnsi="Inter Tight"/>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Tight" w:cs="Inter Tight" w:eastAsia="Inter Tight" w:hAnsi="Inter Tight"/>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Tight" w:cs="Inter Tight" w:eastAsia="Inter Tight" w:hAnsi="Inter Tight"/>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Tight" w:cs="Inter Tight" w:eastAsia="Inter Tight" w:hAnsi="Inter Tight"/>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Tight" w:cs="Inter Tight" w:eastAsia="Inter Tight" w:hAnsi="Inter Tight"/>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Tight" w:cs="Inter Tight" w:eastAsia="Inter Tight" w:hAnsi="Inter Tight"/>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ter Tight" w:cs="Inter Tight" w:eastAsia="Inter Tight" w:hAnsi="Inter Tight"/>
      <w:b w:val="0"/>
      <w:bCs w:val="0"/>
      <w:i w:val="0"/>
      <w:iCs w:val="0"/>
      <w:smallCaps w:val="0"/>
      <w:strike w:val="0"/>
      <w:color w:val="445c7e"/>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11" Type="http://schemas.openxmlformats.org/officeDocument/2006/relationships/font" Target="fonts/InterTight-italic.ttf"/><Relationship Id="rId10" Type="http://schemas.openxmlformats.org/officeDocument/2006/relationships/font" Target="fonts/InterTight-bold.ttf"/><Relationship Id="rId12" Type="http://schemas.openxmlformats.org/officeDocument/2006/relationships/font" Target="fonts/InterTight-boldItalic.ttf"/><Relationship Id="rId9" Type="http://schemas.openxmlformats.org/officeDocument/2006/relationships/font" Target="fonts/InterTight-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